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1F45C" w14:textId="5559517F" w:rsidR="00544A7D" w:rsidRDefault="00544A7D" w:rsidP="00556B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Cs w:val="28"/>
          <w:lang w:eastAsia="pl-PL"/>
          <w14:ligatures w14:val="none"/>
        </w:rPr>
      </w:pPr>
      <w:r w:rsidRPr="00556BAA">
        <w:rPr>
          <w:rFonts w:ascii="Times New Roman" w:eastAsia="Times New Roman" w:hAnsi="Times New Roman" w:cs="Times New Roman"/>
          <w:kern w:val="0"/>
          <w:szCs w:val="28"/>
          <w:lang w:eastAsia="pl-PL"/>
          <w14:ligatures w14:val="none"/>
        </w:rPr>
        <w:t>Zał</w:t>
      </w:r>
      <w:r w:rsidR="00556BAA">
        <w:rPr>
          <w:rFonts w:ascii="Times New Roman" w:eastAsia="Times New Roman" w:hAnsi="Times New Roman" w:cs="Times New Roman"/>
          <w:kern w:val="0"/>
          <w:szCs w:val="28"/>
          <w:lang w:eastAsia="pl-PL"/>
          <w14:ligatures w14:val="none"/>
        </w:rPr>
        <w:t>ącznik</w:t>
      </w:r>
      <w:r w:rsidRPr="00556BAA">
        <w:rPr>
          <w:rFonts w:ascii="Times New Roman" w:eastAsia="Times New Roman" w:hAnsi="Times New Roman" w:cs="Times New Roman"/>
          <w:kern w:val="0"/>
          <w:szCs w:val="28"/>
          <w:lang w:eastAsia="pl-PL"/>
          <w14:ligatures w14:val="none"/>
        </w:rPr>
        <w:t xml:space="preserve"> B.</w:t>
      </w:r>
      <w:r w:rsidR="00556BAA">
        <w:rPr>
          <w:rFonts w:ascii="Times New Roman" w:eastAsia="Times New Roman" w:hAnsi="Times New Roman" w:cs="Times New Roman"/>
          <w:kern w:val="0"/>
          <w:szCs w:val="28"/>
          <w:lang w:eastAsia="pl-PL"/>
          <w14:ligatures w14:val="none"/>
        </w:rPr>
        <w:t>179.</w:t>
      </w:r>
    </w:p>
    <w:p w14:paraId="18B64096" w14:textId="77777777" w:rsidR="00556BAA" w:rsidRPr="00556BAA" w:rsidRDefault="00556BAA" w:rsidP="00556B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Cs w:val="28"/>
          <w:lang w:eastAsia="pl-PL"/>
          <w14:ligatures w14:val="none"/>
        </w:rPr>
      </w:pPr>
    </w:p>
    <w:p w14:paraId="77F84503" w14:textId="050EEA12" w:rsidR="00544A7D" w:rsidRPr="00EC128F" w:rsidRDefault="007E1A7B" w:rsidP="00544A7D">
      <w:pPr>
        <w:spacing w:after="24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03470094"/>
      <w:r w:rsidRPr="00EC128F">
        <w:rPr>
          <w:rFonts w:ascii="Times New Roman" w:hAnsi="Times New Roman" w:cs="Times New Roman"/>
          <w:b/>
          <w:bCs/>
          <w:sz w:val="28"/>
          <w:szCs w:val="28"/>
        </w:rPr>
        <w:t xml:space="preserve">LECZENIE PACJENTÓW CHORYCH NA ZAPALENIE ROGÓWKI WYWOŁANE PRZEZ </w:t>
      </w:r>
      <w:r w:rsidRPr="00EC12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ACANTHAMOEBA</w:t>
      </w:r>
      <w:r w:rsidRPr="00EC128F">
        <w:rPr>
          <w:rFonts w:ascii="Times New Roman" w:hAnsi="Times New Roman" w:cs="Times New Roman"/>
          <w:b/>
          <w:bCs/>
          <w:sz w:val="28"/>
          <w:szCs w:val="28"/>
        </w:rPr>
        <w:t xml:space="preserve"> (ICD-10: H19.2)</w:t>
      </w:r>
    </w:p>
    <w:tbl>
      <w:tblPr>
        <w:tblStyle w:val="Tabela-Siatka"/>
        <w:tblW w:w="15588" w:type="dxa"/>
        <w:tblLook w:val="04A0" w:firstRow="1" w:lastRow="0" w:firstColumn="1" w:lastColumn="0" w:noHBand="0" w:noVBand="1"/>
      </w:tblPr>
      <w:tblGrid>
        <w:gridCol w:w="5129"/>
        <w:gridCol w:w="4931"/>
        <w:gridCol w:w="5528"/>
      </w:tblGrid>
      <w:tr w:rsidR="00544A7D" w:rsidRPr="00EC128F" w14:paraId="621D8EC2" w14:textId="77777777" w:rsidTr="00F47914">
        <w:trPr>
          <w:trHeight w:hRule="exact" w:val="567"/>
        </w:trPr>
        <w:tc>
          <w:tcPr>
            <w:tcW w:w="15588" w:type="dxa"/>
            <w:gridSpan w:val="3"/>
            <w:vAlign w:val="center"/>
          </w:tcPr>
          <w:bookmarkEnd w:id="0"/>
          <w:p w14:paraId="0A7C6AE5" w14:textId="77777777" w:rsidR="00544A7D" w:rsidRPr="00EC128F" w:rsidRDefault="00544A7D" w:rsidP="00FC72AE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 w:eastAsia="zh-TW"/>
                <w14:ligatures w14:val="none"/>
              </w:rPr>
            </w:pPr>
            <w:r w:rsidRPr="00EC128F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 w:eastAsia="zh-TW"/>
                <w14:ligatures w14:val="none"/>
              </w:rPr>
              <w:t>ZAKRES ŚWIADCZENIA GWARANTOWANEGO</w:t>
            </w:r>
          </w:p>
        </w:tc>
      </w:tr>
      <w:tr w:rsidR="00544A7D" w:rsidRPr="00EC128F" w14:paraId="1A58E929" w14:textId="77777777" w:rsidTr="00F47914">
        <w:trPr>
          <w:trHeight w:hRule="exact" w:val="567"/>
        </w:trPr>
        <w:tc>
          <w:tcPr>
            <w:tcW w:w="5129" w:type="dxa"/>
            <w:vAlign w:val="center"/>
          </w:tcPr>
          <w:p w14:paraId="22FA91D4" w14:textId="77777777" w:rsidR="00544A7D" w:rsidRPr="00EC128F" w:rsidRDefault="00544A7D" w:rsidP="00FC72AE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 w:eastAsia="zh-TW"/>
                <w14:ligatures w14:val="none"/>
              </w:rPr>
            </w:pPr>
            <w:r w:rsidRPr="00EC128F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 w:eastAsia="zh-TW"/>
                <w14:ligatures w14:val="none"/>
              </w:rPr>
              <w:t>ŚWIADCZENIOBIORCY</w:t>
            </w:r>
          </w:p>
        </w:tc>
        <w:tc>
          <w:tcPr>
            <w:tcW w:w="4931" w:type="dxa"/>
            <w:vAlign w:val="center"/>
          </w:tcPr>
          <w:p w14:paraId="01B93455" w14:textId="77777777" w:rsidR="00544A7D" w:rsidRPr="008D14C7" w:rsidRDefault="00544A7D" w:rsidP="00FC72AE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</w:pPr>
            <w:r w:rsidRPr="008D14C7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>SCHEMAT DAWKOWANIA LEKÓW W PROGRAMIE</w:t>
            </w:r>
          </w:p>
        </w:tc>
        <w:tc>
          <w:tcPr>
            <w:tcW w:w="5528" w:type="dxa"/>
            <w:vAlign w:val="center"/>
          </w:tcPr>
          <w:p w14:paraId="39194AD7" w14:textId="77777777" w:rsidR="00544A7D" w:rsidRPr="008D14C7" w:rsidRDefault="00544A7D" w:rsidP="00FC72AE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</w:pPr>
            <w:r w:rsidRPr="008D14C7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>BADANIA DIAGNOSTYCZNE WYKONYWANE W RAMACH PROGRAMU</w:t>
            </w:r>
          </w:p>
        </w:tc>
      </w:tr>
      <w:tr w:rsidR="00544A7D" w14:paraId="4E64DE62" w14:textId="77777777" w:rsidTr="00F47914">
        <w:tc>
          <w:tcPr>
            <w:tcW w:w="5129" w:type="dxa"/>
          </w:tcPr>
          <w:p w14:paraId="4128D793" w14:textId="77777777" w:rsidR="002C0E35" w:rsidRPr="00AF027B" w:rsidRDefault="002C0E35" w:rsidP="004D583A">
            <w:pPr>
              <w:spacing w:before="120"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27B">
              <w:rPr>
                <w:rFonts w:ascii="Times New Roman" w:hAnsi="Times New Roman" w:cs="Times New Roman"/>
                <w:sz w:val="20"/>
                <w:szCs w:val="20"/>
              </w:rPr>
              <w:t xml:space="preserve">W programie finansuje się leczenie zapalenia rogówki wywołanego przez </w:t>
            </w:r>
            <w:proofErr w:type="spellStart"/>
            <w:r w:rsidRPr="00AF02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Acanthamoeba</w:t>
            </w:r>
            <w:proofErr w:type="spellEnd"/>
            <w:r w:rsidRPr="00AF02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F027B">
              <w:rPr>
                <w:rFonts w:ascii="Times New Roman" w:hAnsi="Times New Roman" w:cs="Times New Roman"/>
                <w:sz w:val="20"/>
                <w:szCs w:val="20"/>
              </w:rPr>
              <w:t xml:space="preserve">substancją </w:t>
            </w:r>
            <w:proofErr w:type="spellStart"/>
            <w:r w:rsidRPr="00AF02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polihexanidum</w:t>
            </w:r>
            <w:proofErr w:type="spellEnd"/>
            <w:r w:rsidRPr="00AF02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F027B">
              <w:rPr>
                <w:rFonts w:ascii="Times New Roman" w:hAnsi="Times New Roman" w:cs="Times New Roman"/>
                <w:sz w:val="20"/>
                <w:szCs w:val="20"/>
              </w:rPr>
              <w:t>(w stężeniu 0,08% w/w), zgodnie ze wskazanymi w opisie programu warunkami i kryteriami.</w:t>
            </w:r>
          </w:p>
          <w:p w14:paraId="0411AA98" w14:textId="26E001BB" w:rsidR="00544A7D" w:rsidRPr="00EC128F" w:rsidRDefault="007E1A7B" w:rsidP="00556BA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Kwalifikacja świadczeniobiorców do programu przeprowadzana jest przez Zespół Koordynacyjny ds. Leczeni</w:t>
            </w:r>
            <w:r w:rsidR="00B161BF" w:rsidRPr="00EC128F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Zapalenia Rogówki wywołanego przez </w:t>
            </w:r>
            <w:proofErr w:type="spellStart"/>
            <w:r w:rsidRPr="00EC128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Acanthamoeba</w:t>
            </w:r>
            <w:proofErr w:type="spellEnd"/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, powoływany przez Prezesa Narodowego Funduszu Zdrowia.</w:t>
            </w:r>
            <w:r w:rsidR="002C0E35" w:rsidRPr="00AF027B">
              <w:rPr>
                <w:rFonts w:ascii="Times New Roman" w:hAnsi="Times New Roman" w:cs="Times New Roman"/>
                <w:sz w:val="20"/>
                <w:szCs w:val="20"/>
              </w:rPr>
              <w:t xml:space="preserve"> (dalej jako Zespół Koordynacyjny).</w:t>
            </w:r>
          </w:p>
          <w:p w14:paraId="61EFC1D6" w14:textId="4E2454EB" w:rsidR="002C0E35" w:rsidRDefault="007E1A7B" w:rsidP="00556BAA">
            <w:pPr>
              <w:spacing w:after="60" w:line="276" w:lineRule="auto"/>
              <w:jc w:val="both"/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Kwalifikacja do programu oraz weryfikacja skuteczności leczenia odbywa się w oparciu o ocenę stanu klinicznego świadczeniobiorcy oraz ocenę efektywności zastosowanej terapii</w:t>
            </w:r>
            <w:r w:rsidR="002C0E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A64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64C89BB" w14:textId="263D75A1" w:rsidR="007E1A7B" w:rsidRDefault="002C0E35" w:rsidP="00556BA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E35">
              <w:rPr>
                <w:rFonts w:ascii="Times New Roman" w:hAnsi="Times New Roman" w:cs="Times New Roman"/>
                <w:sz w:val="20"/>
                <w:szCs w:val="20"/>
              </w:rPr>
              <w:t>W ramach programu lekowego umożliwia się leczenie u danego świadczeniobiorcy jednego oka lub obojga oczu jednocześnie, przy czym kwalifikacja odbywa się oddzielnie dla każdego oka.</w:t>
            </w:r>
          </w:p>
          <w:p w14:paraId="6FAEC32A" w14:textId="77777777" w:rsidR="00556BAA" w:rsidRPr="00EC128F" w:rsidRDefault="00556BAA" w:rsidP="00556BA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B315F5" w14:textId="77777777" w:rsidR="007E1A7B" w:rsidRPr="00EC128F" w:rsidRDefault="007E1A7B" w:rsidP="00556BAA">
            <w:pPr>
              <w:pStyle w:val="Akapitzlist"/>
              <w:numPr>
                <w:ilvl w:val="0"/>
                <w:numId w:val="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 kwalifikacji</w:t>
            </w:r>
          </w:p>
          <w:p w14:paraId="4BCC849F" w14:textId="69C131F2" w:rsidR="007E1A7B" w:rsidRPr="00EC128F" w:rsidRDefault="007E1A7B" w:rsidP="00556BAA">
            <w:pPr>
              <w:pStyle w:val="Akapitzlist"/>
              <w:numPr>
                <w:ilvl w:val="2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wiek 12 lat i powyżej;</w:t>
            </w:r>
          </w:p>
          <w:p w14:paraId="0008A50D" w14:textId="46106004" w:rsidR="007E1A7B" w:rsidRPr="00EC128F" w:rsidRDefault="007E1A7B" w:rsidP="00556BAA">
            <w:pPr>
              <w:pStyle w:val="Akapitzlist"/>
              <w:numPr>
                <w:ilvl w:val="2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objawy kliniczne zapalenia rogówki wywołanego przez </w:t>
            </w:r>
            <w:proofErr w:type="spellStart"/>
            <w:r w:rsidRPr="00EC128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Acanthamoeba</w:t>
            </w:r>
            <w:proofErr w:type="spellEnd"/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potwierdzone </w:t>
            </w:r>
            <w:r w:rsidR="007E269F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r w:rsidR="009B2F54" w:rsidRPr="009B2F54">
              <w:rPr>
                <w:rFonts w:ascii="Times New Roman" w:hAnsi="Times New Roman" w:cs="Times New Roman"/>
                <w:sz w:val="20"/>
                <w:szCs w:val="20"/>
              </w:rPr>
              <w:t>badani</w:t>
            </w:r>
            <w:r w:rsidR="00A171CF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9B2F54" w:rsidRPr="009B2F54">
              <w:rPr>
                <w:rFonts w:ascii="Times New Roman" w:hAnsi="Times New Roman" w:cs="Times New Roman"/>
                <w:sz w:val="20"/>
                <w:szCs w:val="20"/>
              </w:rPr>
              <w:t xml:space="preserve"> PCR oraz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8776F4C" w14:textId="34388680" w:rsidR="00556BAA" w:rsidRDefault="007E1A7B" w:rsidP="00556BA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mikroskopii konfokalnej </w:t>
            </w:r>
            <w:r w:rsidRPr="00EC128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 vivo</w:t>
            </w:r>
          </w:p>
          <w:p w14:paraId="66B09CAB" w14:textId="1E5AB250" w:rsidR="007E1A7B" w:rsidRPr="00556BAA" w:rsidRDefault="007E1A7B" w:rsidP="00556BAA">
            <w:pPr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BA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163D2A93" w14:textId="13A3DDFE" w:rsidR="007E1A7B" w:rsidRDefault="007E1A7B" w:rsidP="00556BA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preparatu bezpośredniego lub posiewu;</w:t>
            </w:r>
          </w:p>
          <w:p w14:paraId="3F5DD9E7" w14:textId="2908C82C" w:rsidR="002C0E35" w:rsidRPr="00143667" w:rsidRDefault="002C0E35" w:rsidP="00556BAA">
            <w:pPr>
              <w:pStyle w:val="Akapitzlist"/>
              <w:numPr>
                <w:ilvl w:val="2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027B">
              <w:rPr>
                <w:rFonts w:ascii="Times New Roman" w:hAnsi="Times New Roman" w:cs="Times New Roman"/>
                <w:sz w:val="20"/>
                <w:szCs w:val="20"/>
              </w:rPr>
              <w:t>brak przeciwwskazań do stosowania leku zgodnie z aktualną Charakterystyką Produktu Leczniczego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521F660" w14:textId="40FFD23C" w:rsidR="007E1A7B" w:rsidRPr="00EC128F" w:rsidRDefault="007E1A7B" w:rsidP="00556BAA">
            <w:pPr>
              <w:pStyle w:val="Akapitzlist"/>
              <w:numPr>
                <w:ilvl w:val="2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nieobecność istotnych schorzeń współistniejących lub stanów klinicznych stanowiących przeciwwskazanie do terapii, stwierdzonych przez lekarza prowadzącego w oparciu o aktualną Charakterystykę Produktu Leczniczego;</w:t>
            </w:r>
          </w:p>
          <w:p w14:paraId="4C0B30CA" w14:textId="77777777" w:rsidR="007E1A7B" w:rsidRPr="00EC128F" w:rsidRDefault="007E1A7B" w:rsidP="00556BAA">
            <w:pPr>
              <w:pStyle w:val="Akapitzlist"/>
              <w:numPr>
                <w:ilvl w:val="2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wykluczenie ciąży i okresu karmienia piersią.</w:t>
            </w:r>
          </w:p>
          <w:p w14:paraId="527934B6" w14:textId="7A6617DC" w:rsidR="007E1A7B" w:rsidRPr="00EC128F" w:rsidRDefault="002C0E35" w:rsidP="00556BA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Powyższe</w:t>
            </w:r>
            <w:r w:rsidR="007E1A7B"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kryteria kwalifikacji muszą być spełnione łącznie.</w:t>
            </w:r>
          </w:p>
          <w:p w14:paraId="7953987D" w14:textId="77777777" w:rsidR="007E1A7B" w:rsidRPr="00EC128F" w:rsidRDefault="007E1A7B" w:rsidP="00556BA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A2F08B" w14:textId="3A3380A2" w:rsidR="007E1A7B" w:rsidRDefault="002C0E35" w:rsidP="00556BA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7E1A7B" w:rsidRPr="00EC128F">
              <w:rPr>
                <w:rFonts w:ascii="Times New Roman" w:hAnsi="Times New Roman" w:cs="Times New Roman"/>
                <w:sz w:val="20"/>
                <w:szCs w:val="20"/>
              </w:rPr>
              <w:t>onadto do programu lekowego kwalifikowani są również pacjenci wymagający kontynuacji leczenia, którzy byli dotychczas leczeni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0E35">
              <w:rPr>
                <w:rFonts w:ascii="Times New Roman" w:hAnsi="Times New Roman" w:cs="Times New Roman"/>
                <w:sz w:val="20"/>
                <w:szCs w:val="20"/>
              </w:rPr>
              <w:t>substancją czynną finansowaną w programie lekowym</w:t>
            </w:r>
            <w:r w:rsidR="007E1A7B"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w ramach innego sposobu finansowania terapii (</w:t>
            </w:r>
            <w:proofErr w:type="gramStart"/>
            <w:r w:rsidR="007E1A7B" w:rsidRPr="00EC128F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E1A7B"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wyjątkiem</w:t>
            </w:r>
            <w:proofErr w:type="gramEnd"/>
            <w:r w:rsidR="007E1A7B"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trwających badań klinicznych tego leku), pod warunkiem, że w chwili rozpoczęcia leczenia spełniali kryteria kwalifikacji do programu lekowego.</w:t>
            </w:r>
            <w:r w:rsidR="00095E3C">
              <w:rPr>
                <w:rFonts w:ascii="Times New Roman" w:hAnsi="Times New Roman" w:cs="Times New Roman"/>
                <w:sz w:val="20"/>
                <w:szCs w:val="20"/>
              </w:rPr>
              <w:t xml:space="preserve"> W tym przypadku należy przedstawić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399F">
              <w:rPr>
                <w:rFonts w:ascii="Times New Roman" w:hAnsi="Times New Roman" w:cs="Times New Roman"/>
                <w:sz w:val="20"/>
                <w:szCs w:val="20"/>
              </w:rPr>
              <w:t>odpowiednią</w:t>
            </w:r>
            <w:r w:rsidR="00095E3C">
              <w:rPr>
                <w:rFonts w:ascii="Times New Roman" w:hAnsi="Times New Roman" w:cs="Times New Roman"/>
                <w:sz w:val="20"/>
                <w:szCs w:val="20"/>
              </w:rPr>
              <w:t xml:space="preserve"> dokumentację z momentu rozpoczęcia terapii</w:t>
            </w:r>
            <w:r w:rsidR="00DC580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95E3C">
              <w:rPr>
                <w:rFonts w:ascii="Times New Roman" w:hAnsi="Times New Roman" w:cs="Times New Roman"/>
                <w:sz w:val="20"/>
                <w:szCs w:val="20"/>
              </w:rPr>
              <w:t xml:space="preserve"> zgodną z badaniami przy kwalifikacji oraz po 6 miesiącach terapii </w:t>
            </w:r>
            <w:r w:rsidR="00DC580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95E3C">
              <w:rPr>
                <w:rFonts w:ascii="Times New Roman" w:hAnsi="Times New Roman" w:cs="Times New Roman"/>
                <w:sz w:val="20"/>
                <w:szCs w:val="20"/>
              </w:rPr>
              <w:t>w przypadku leczenia dłuższego niż 6 miesięcy</w:t>
            </w:r>
            <w:r w:rsidR="00DC580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95E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077D62D" w14:textId="77777777" w:rsidR="00556BAA" w:rsidRPr="00EC128F" w:rsidRDefault="00556BAA" w:rsidP="00556BA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FE406E" w14:textId="20EE9141" w:rsidR="007E1A7B" w:rsidRPr="00EC128F" w:rsidRDefault="007E1A7B" w:rsidP="00556BAA">
            <w:pPr>
              <w:pStyle w:val="Akapitzlist"/>
              <w:numPr>
                <w:ilvl w:val="0"/>
                <w:numId w:val="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Określenie czasu leczenia w programie</w:t>
            </w:r>
          </w:p>
          <w:p w14:paraId="0053861C" w14:textId="1C6ABCFC" w:rsidR="007E1A7B" w:rsidRDefault="007E1A7B" w:rsidP="00556BAA">
            <w:pPr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Leczenie trwa</w:t>
            </w:r>
            <w:r w:rsidR="00D464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59AE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D46400">
              <w:rPr>
                <w:rFonts w:ascii="Times New Roman" w:hAnsi="Times New Roman" w:cs="Times New Roman"/>
                <w:sz w:val="20"/>
                <w:szCs w:val="20"/>
              </w:rPr>
              <w:t xml:space="preserve"> czasu podjęcia przez Zespół K</w:t>
            </w:r>
            <w:r w:rsidR="00213046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D46400">
              <w:rPr>
                <w:rFonts w:ascii="Times New Roman" w:hAnsi="Times New Roman" w:cs="Times New Roman"/>
                <w:sz w:val="20"/>
                <w:szCs w:val="20"/>
              </w:rPr>
              <w:t xml:space="preserve">ordynacyjny lub lekarza prowadzącego decyzji o </w:t>
            </w:r>
            <w:r w:rsidR="00D46400" w:rsidRPr="00AF02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wyłączeniu </w:t>
            </w:r>
            <w:r w:rsidR="00D46400" w:rsidRPr="00AF027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świadczeniobiorcy z programu, zgodnie z kryteriami wyłączenia, jednak z zastrzeżeniem, iż maksymalny okres leczenia wynosi 12 miesięcy od chwili rozpoczęcia leczenia substancją </w:t>
            </w:r>
            <w:proofErr w:type="spellStart"/>
            <w:r w:rsidR="00D46400" w:rsidRPr="00AF02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polihexanidum</w:t>
            </w:r>
            <w:proofErr w:type="spellEnd"/>
            <w:r w:rsidR="00D46400" w:rsidRPr="00AF027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D46400" w:rsidRPr="00AF027B">
              <w:rPr>
                <w:rFonts w:ascii="Times New Roman" w:hAnsi="Times New Roman" w:cs="Times New Roman"/>
                <w:sz w:val="20"/>
                <w:szCs w:val="20"/>
              </w:rPr>
              <w:t>(w stężeniu 0,08% w/w)</w:t>
            </w:r>
            <w:r w:rsidR="00D46400" w:rsidRPr="00AF027B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9E4A686" w14:textId="77777777" w:rsidR="00556BAA" w:rsidRPr="00EC128F" w:rsidRDefault="00556BAA" w:rsidP="00556BA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4F4529" w14:textId="15383710" w:rsidR="007E1A7B" w:rsidRPr="00EC128F" w:rsidRDefault="007E1A7B" w:rsidP="00556BAA">
            <w:pPr>
              <w:pStyle w:val="Akapitzlist"/>
              <w:numPr>
                <w:ilvl w:val="0"/>
                <w:numId w:val="1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 wyłączenia z programu</w:t>
            </w:r>
          </w:p>
          <w:p w14:paraId="7C1CE8D8" w14:textId="5B988C14" w:rsidR="007E1A7B" w:rsidRPr="00EC128F" w:rsidRDefault="007E1A7B" w:rsidP="00556BAA">
            <w:pPr>
              <w:pStyle w:val="Akapitzlist"/>
              <w:numPr>
                <w:ilvl w:val="2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udokumentowana progresja choroby lub brak odpowiedzi na leczenie w trakcie stosowania leku definiowan</w:t>
            </w:r>
            <w:r w:rsidR="00794AAD" w:rsidRPr="00EC128F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jako:</w:t>
            </w:r>
          </w:p>
          <w:p w14:paraId="15C714B1" w14:textId="248343F8" w:rsidR="007E1A7B" w:rsidRPr="00EC128F" w:rsidRDefault="007E1A7B" w:rsidP="00556BAA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konieczność powrotu do fazy intensywnego leczenia w trakcie 12 miesięcy od włączenia do leczenia przy pozytywnych badaniach (</w:t>
            </w:r>
            <w:r w:rsidR="00380B10">
              <w:rPr>
                <w:rFonts w:ascii="Times New Roman" w:hAnsi="Times New Roman" w:cs="Times New Roman"/>
                <w:sz w:val="20"/>
                <w:szCs w:val="20"/>
              </w:rPr>
              <w:t xml:space="preserve">PCR oraz 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mikroskopia konfokalna</w:t>
            </w:r>
            <w:r w:rsidR="002C0E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0E35" w:rsidRPr="001436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 vivo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lub preparat bezpośredni lub posiew) na obecność </w:t>
            </w:r>
            <w:proofErr w:type="spellStart"/>
            <w:r w:rsidRPr="00EC128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Acanthamoeba</w:t>
            </w:r>
            <w:proofErr w:type="spellEnd"/>
            <w:r w:rsidR="00794AAD" w:rsidRPr="00EC128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1719828" w14:textId="3FF9FE16" w:rsidR="007E1A7B" w:rsidRPr="00EC128F" w:rsidRDefault="007E1A7B" w:rsidP="00556BAA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konieczność drugiego powrotu do fazy intensywnego leczenia w trakcie 12 miesięcy od włączenia do leczenia przy negatywnych badaniach (</w:t>
            </w:r>
            <w:r w:rsidR="00AD59AE"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PCR </w:t>
            </w:r>
            <w:r w:rsidR="00AD59AE">
              <w:rPr>
                <w:rFonts w:ascii="Times New Roman" w:hAnsi="Times New Roman" w:cs="Times New Roman"/>
                <w:sz w:val="20"/>
                <w:szCs w:val="20"/>
              </w:rPr>
              <w:t xml:space="preserve">oraz 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mikroskopia konfokalna</w:t>
            </w:r>
            <w:r w:rsidR="002C0E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0E35" w:rsidRPr="00556B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 vivo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lub preparat bezpośredni lub posiew) na obecność </w:t>
            </w:r>
            <w:proofErr w:type="spellStart"/>
            <w:r w:rsidRPr="00EC128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Acanthamoeb</w:t>
            </w:r>
            <w:r w:rsidR="00794AAD" w:rsidRPr="00EC128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proofErr w:type="spellEnd"/>
            <w:r w:rsidR="00794AAD" w:rsidRPr="00EC128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DE6DF71" w14:textId="22E80052" w:rsidR="007E1A7B" w:rsidRPr="00EC128F" w:rsidRDefault="007E1A7B" w:rsidP="00556BAA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nawrót objawów klinicznych zapalenia rogówki po 12 miesiącach leczenia w programie</w:t>
            </w:r>
            <w:r w:rsidR="00794AAD" w:rsidRPr="00EC12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7A278E6" w14:textId="1122D51B" w:rsidR="007E1A7B" w:rsidRPr="00EC128F" w:rsidRDefault="007E1A7B" w:rsidP="00556BAA">
            <w:pPr>
              <w:pStyle w:val="Akapitzlist"/>
              <w:numPr>
                <w:ilvl w:val="2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brak objawów klinicznych po 30 dniach od odstawienia leku z powodu poprawy klinicznej w trakcie 12-miesi</w:t>
            </w:r>
            <w:r w:rsidR="00C3626D" w:rsidRPr="00EC128F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cznej terapii</w:t>
            </w:r>
            <w:r w:rsidR="00794AAD" w:rsidRPr="00EC12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F04DD08" w14:textId="23074A19" w:rsidR="007E1A7B" w:rsidRPr="00EC128F" w:rsidRDefault="007E1A7B" w:rsidP="00556BAA">
            <w:pPr>
              <w:pStyle w:val="Akapitzlist"/>
              <w:numPr>
                <w:ilvl w:val="2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wystąpienie nadwrażliwości na substancję czynną lub którąkolwiek substancję pomocniczą;</w:t>
            </w:r>
          </w:p>
          <w:p w14:paraId="08A04EB5" w14:textId="79587423" w:rsidR="007E1A7B" w:rsidRPr="00EC128F" w:rsidRDefault="007E1A7B" w:rsidP="00556BAA">
            <w:pPr>
              <w:pStyle w:val="Akapitzlist"/>
              <w:numPr>
                <w:ilvl w:val="2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wystąpienie działań niepożądanych związanych z lekiem, </w:t>
            </w:r>
            <w:r w:rsidR="00847210" w:rsidRPr="00EC128F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tóre w opi</w:t>
            </w:r>
            <w:r w:rsidR="0086471F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6471F">
              <w:rPr>
                <w:rFonts w:ascii="Times New Roman" w:hAnsi="Times New Roman" w:cs="Times New Roman"/>
                <w:sz w:val="20"/>
                <w:szCs w:val="20"/>
              </w:rPr>
              <w:t xml:space="preserve">ii </w:t>
            </w:r>
            <w:r w:rsidR="0086471F" w:rsidRPr="00516448">
              <w:rPr>
                <w:rFonts w:ascii="Times New Roman" w:hAnsi="Times New Roman" w:cs="Times New Roman"/>
                <w:sz w:val="20"/>
                <w:szCs w:val="20"/>
              </w:rPr>
              <w:t xml:space="preserve">lekarza 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prowadzącego uniemożliwiają dalsze prowadzenie leczenia;</w:t>
            </w:r>
          </w:p>
          <w:p w14:paraId="08F81E38" w14:textId="6FE93758" w:rsidR="007E1A7B" w:rsidRPr="00EC128F" w:rsidRDefault="007E1A7B" w:rsidP="00556BAA">
            <w:pPr>
              <w:pStyle w:val="Akapitzlist"/>
              <w:numPr>
                <w:ilvl w:val="2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wystąpienie chorób lub stanów, które w </w:t>
            </w:r>
            <w:r w:rsidRPr="00516448">
              <w:rPr>
                <w:rFonts w:ascii="Times New Roman" w:hAnsi="Times New Roman" w:cs="Times New Roman"/>
                <w:sz w:val="20"/>
                <w:szCs w:val="20"/>
              </w:rPr>
              <w:t>opinii lekarza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prowadzącego uniemożliwiają dalsze prowadzenie leczenia;</w:t>
            </w:r>
          </w:p>
          <w:p w14:paraId="4FE629B6" w14:textId="25C93E28" w:rsidR="00E64713" w:rsidRPr="00213046" w:rsidRDefault="007E1A7B" w:rsidP="00556BAA">
            <w:pPr>
              <w:pStyle w:val="Akapitzlist"/>
              <w:numPr>
                <w:ilvl w:val="2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konieczność przeprowadzenia przeszczepu rogówki </w:t>
            </w:r>
            <w:r w:rsidR="00257D99">
              <w:rPr>
                <w:rFonts w:ascii="Times New Roman" w:hAnsi="Times New Roman" w:cs="Times New Roman"/>
                <w:sz w:val="20"/>
                <w:szCs w:val="20"/>
              </w:rPr>
              <w:t xml:space="preserve">lub innego pilnego zabiegu 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z powodu postępu choroby</w:t>
            </w:r>
            <w:r w:rsidR="004D583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EB3AD46" w14:textId="5A5A87FA" w:rsidR="007E1A7B" w:rsidRPr="00EC128F" w:rsidRDefault="007E1A7B" w:rsidP="00556BAA">
            <w:pPr>
              <w:pStyle w:val="Akapitzlist"/>
              <w:numPr>
                <w:ilvl w:val="2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okres ciąży lub karmienia piersią;</w:t>
            </w:r>
          </w:p>
          <w:p w14:paraId="5FF58636" w14:textId="4FFE9C26" w:rsidR="007E1A7B" w:rsidRPr="00EC128F" w:rsidRDefault="007E1A7B" w:rsidP="00556BAA">
            <w:pPr>
              <w:pStyle w:val="Akapitzlist"/>
              <w:numPr>
                <w:ilvl w:val="2"/>
                <w:numId w:val="3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brak współpracy lub nieprzestrzeganie zaleceń lekarskich, w tym zwłaszcza dotyczących okresowych badań kontrolnych do monitorowania leczenia ze strony świadczeniobiorcy lub jego prawnych opiekunów.</w:t>
            </w:r>
          </w:p>
        </w:tc>
        <w:tc>
          <w:tcPr>
            <w:tcW w:w="4931" w:type="dxa"/>
          </w:tcPr>
          <w:p w14:paraId="3DD73592" w14:textId="28206FFB" w:rsidR="00847210" w:rsidRPr="00EC128F" w:rsidRDefault="00847210" w:rsidP="004D583A">
            <w:pPr>
              <w:pStyle w:val="Akapitzlist"/>
              <w:numPr>
                <w:ilvl w:val="0"/>
                <w:numId w:val="4"/>
              </w:numPr>
              <w:spacing w:before="120"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Dawkowanie</w:t>
            </w:r>
          </w:p>
          <w:p w14:paraId="042F01F4" w14:textId="77777777" w:rsidR="00847210" w:rsidRPr="00EC128F" w:rsidRDefault="00847210" w:rsidP="004D583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Sposób podawania leku prowadzony zgodnie z aktualną Charakterystyką Produktu Leczniczego.</w:t>
            </w:r>
          </w:p>
          <w:p w14:paraId="1A6A8DF0" w14:textId="77777777" w:rsidR="00847210" w:rsidRPr="00EC128F" w:rsidRDefault="00847210" w:rsidP="004D583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Zalecana dawka to 1 kropla produktu leczniczego do chorego oka, zgodnie ze schematem obejmującym fazę intensywnego leczenia i fazę kontynuacji leczenia.</w:t>
            </w:r>
          </w:p>
          <w:p w14:paraId="51784F6B" w14:textId="77777777" w:rsidR="00847210" w:rsidRPr="00EC128F" w:rsidRDefault="00847210" w:rsidP="004D583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Lek wydawany jest pacjentowi do prowadzenia terapii w warunkach domowych. Jednorazowo możliwe jest wydanie leku na 30 dni terapii, przy czym wydaje się lek w pełnych saszetkach, z uwzględnieniem sposobu dawkowania dla aktualnej fazy leczenia, tak aby zapewnić pełną 30-dniową terapię.</w:t>
            </w:r>
          </w:p>
          <w:p w14:paraId="60ACF6F6" w14:textId="77777777" w:rsidR="00794AAD" w:rsidRDefault="00847210" w:rsidP="004D583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Wydanie kolejnej partii leku odbywa się na wizycie kontrolnej, zgodnie z harmonogramem monitorowania leczenia.</w:t>
            </w:r>
          </w:p>
          <w:p w14:paraId="26851345" w14:textId="77777777" w:rsidR="00F47914" w:rsidRPr="00EC128F" w:rsidRDefault="00F47914" w:rsidP="004D583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C7C349" w14:textId="3AE01815" w:rsidR="00794AAD" w:rsidRPr="00EC128F" w:rsidRDefault="00794AAD" w:rsidP="004D583A">
            <w:pPr>
              <w:pStyle w:val="Akapitzlist"/>
              <w:numPr>
                <w:ilvl w:val="0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Wznowienie fazy intensywnego leczenia</w:t>
            </w:r>
          </w:p>
          <w:p w14:paraId="39C6F981" w14:textId="36E9C520" w:rsidR="00794AAD" w:rsidRPr="00EC128F" w:rsidRDefault="00794AAD" w:rsidP="004D583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Faza intensywnego leczenia może zostać </w:t>
            </w:r>
            <w:r w:rsidR="000D69D3" w:rsidRPr="00EC128F">
              <w:rPr>
                <w:rFonts w:ascii="Times New Roman" w:hAnsi="Times New Roman" w:cs="Times New Roman"/>
                <w:sz w:val="20"/>
                <w:szCs w:val="20"/>
              </w:rPr>
              <w:t>wznowiona,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jeżeli w fazie kontynuacji leczenia dojdzie do nasilenia lub zaostrzenia stanu zapalnego oka oraz jednocześnie wynik posiewu na obecność </w:t>
            </w:r>
            <w:proofErr w:type="spellStart"/>
            <w:r w:rsidRPr="00EC128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Acanthamoeba</w:t>
            </w:r>
            <w:proofErr w:type="spellEnd"/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jest ujemny.</w:t>
            </w:r>
          </w:p>
          <w:p w14:paraId="7A1D8BB9" w14:textId="45774BC2" w:rsidR="00847210" w:rsidRPr="00EC128F" w:rsidRDefault="00847210" w:rsidP="004D583A">
            <w:pPr>
              <w:pStyle w:val="Akapitzlist"/>
              <w:numPr>
                <w:ilvl w:val="0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Kontynuacja terapii rozpoczętej poza programem</w:t>
            </w:r>
          </w:p>
          <w:p w14:paraId="692AA7EC" w14:textId="5A863DBA" w:rsidR="00544A7D" w:rsidRPr="00EC128F" w:rsidRDefault="00847210" w:rsidP="004D583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W przypadku pacjentów zakwalifikowanych do programu, którzy rozpoczęli leczenie w ramach innego źródła finansowania, schemat dawkowania należy dostosować do etapu leczenia na jakim znajduje się pacjent. Do programu mogą być włączani pacjenci nie spełniający kryteriów wyłączenia z programu.</w:t>
            </w:r>
          </w:p>
        </w:tc>
        <w:tc>
          <w:tcPr>
            <w:tcW w:w="5528" w:type="dxa"/>
          </w:tcPr>
          <w:p w14:paraId="5489898F" w14:textId="77777777" w:rsidR="00847210" w:rsidRPr="00EC128F" w:rsidRDefault="00847210" w:rsidP="004D583A">
            <w:pPr>
              <w:pStyle w:val="Akapitzlist"/>
              <w:numPr>
                <w:ilvl w:val="0"/>
                <w:numId w:val="5"/>
              </w:numPr>
              <w:spacing w:before="120"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Badania przy kwalifikacji</w:t>
            </w:r>
          </w:p>
          <w:p w14:paraId="7A533C37" w14:textId="3B6F0E4A" w:rsidR="00847210" w:rsidRDefault="00847210" w:rsidP="004D583A">
            <w:pPr>
              <w:pStyle w:val="Akapitzlist"/>
              <w:numPr>
                <w:ilvl w:val="2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badanie okulistyczne z oceną ostrości wzroku na tablicach </w:t>
            </w:r>
            <w:proofErr w:type="spellStart"/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Snellena</w:t>
            </w:r>
            <w:proofErr w:type="spellEnd"/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lub ETDRS;</w:t>
            </w:r>
          </w:p>
          <w:p w14:paraId="4DE5ECDF" w14:textId="38DDD57A" w:rsidR="00DE7D2A" w:rsidRPr="00EC128F" w:rsidRDefault="00DE7D2A" w:rsidP="004D583A">
            <w:pPr>
              <w:pStyle w:val="Akapitzlist"/>
              <w:numPr>
                <w:ilvl w:val="2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badanie </w:t>
            </w:r>
            <w:r w:rsidRPr="00DE7D2A">
              <w:rPr>
                <w:rFonts w:ascii="Times New Roman" w:hAnsi="Times New Roman" w:cs="Times New Roman"/>
                <w:sz w:val="20"/>
                <w:szCs w:val="20"/>
              </w:rPr>
              <w:t>OCT przedniego odcinka oka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63A0BFB" w14:textId="4C172485" w:rsidR="00847210" w:rsidRPr="00EC128F" w:rsidRDefault="00847210" w:rsidP="004D583A">
            <w:pPr>
              <w:pStyle w:val="Akapitzlist"/>
              <w:numPr>
                <w:ilvl w:val="2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ocena nasilenia objawów choroby na podstawie badania w lampie szczelinowej w skali</w:t>
            </w:r>
            <w:r w:rsidR="00DB553F" w:rsidRPr="00EC128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BEA7BB7" w14:textId="02AA24DF" w:rsidR="00847210" w:rsidRPr="00EC128F" w:rsidRDefault="00847210" w:rsidP="004D583A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łagodny – naciek obwodowy rogówki, brak nacieku pierścieniowatego, ból umiarkowany</w:t>
            </w:r>
            <w:r w:rsidR="00DB553F" w:rsidRPr="00EC128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D990C06" w14:textId="5455399B" w:rsidR="00847210" w:rsidRPr="00EC128F" w:rsidRDefault="00847210" w:rsidP="004D583A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umiarkowany – centralny naciek, początek pierścieniowatego zapalenia, wzrost bólu i światłowstręt</w:t>
            </w:r>
            <w:r w:rsidR="00DB553F" w:rsidRPr="00EC128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36F1547" w14:textId="61C240D4" w:rsidR="00847210" w:rsidRPr="00EC128F" w:rsidRDefault="00847210" w:rsidP="004D583A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ciężki – pełnościenne nacieki, pierścieniowaty ropień, wrzodziejące zmiany, znaczny ból, zapalenie twardówki</w:t>
            </w:r>
            <w:r w:rsidR="00DB553F" w:rsidRPr="00EC12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7900920" w14:textId="3588E15B" w:rsidR="00847210" w:rsidRPr="00EC128F" w:rsidRDefault="00DB553F" w:rsidP="004D583A">
            <w:pPr>
              <w:pStyle w:val="Akapitzlist"/>
              <w:numPr>
                <w:ilvl w:val="2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47210"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cena nasilenia bólu w skali VAS (Visual Analog </w:t>
            </w:r>
            <w:proofErr w:type="spellStart"/>
            <w:r w:rsidR="00847210" w:rsidRPr="00EC128F">
              <w:rPr>
                <w:rFonts w:ascii="Times New Roman" w:hAnsi="Times New Roman" w:cs="Times New Roman"/>
                <w:sz w:val="20"/>
                <w:szCs w:val="20"/>
              </w:rPr>
              <w:t>Scale</w:t>
            </w:r>
            <w:proofErr w:type="spellEnd"/>
            <w:r w:rsidR="00847210"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="00DB68E7" w:rsidRPr="00EC128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47210" w:rsidRPr="00EC128F">
              <w:rPr>
                <w:rFonts w:ascii="Times New Roman" w:hAnsi="Times New Roman" w:cs="Times New Roman"/>
                <w:sz w:val="20"/>
                <w:szCs w:val="20"/>
              </w:rPr>
              <w:t>10 pkt)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BBB03A4" w14:textId="253B135B" w:rsidR="00847210" w:rsidRPr="00EC128F" w:rsidRDefault="00847210" w:rsidP="004D583A">
            <w:pPr>
              <w:pStyle w:val="Akapitzlist"/>
              <w:numPr>
                <w:ilvl w:val="2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wykonanie zdjęcia przedniego odcinka oka w lampie szczelinowej</w:t>
            </w:r>
            <w:r w:rsidR="00DB553F" w:rsidRPr="00EC12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0877D72" w14:textId="03BE0973" w:rsidR="00847210" w:rsidRPr="00EC128F" w:rsidRDefault="00847210" w:rsidP="004D583A">
            <w:pPr>
              <w:pStyle w:val="Akapitzlist"/>
              <w:numPr>
                <w:ilvl w:val="2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badanie potwierdzające obecność </w:t>
            </w:r>
            <w:proofErr w:type="spellStart"/>
            <w:r w:rsidRPr="00EC128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Acanthamoeba</w:t>
            </w:r>
            <w:proofErr w:type="spellEnd"/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w rogówce</w:t>
            </w:r>
            <w:r w:rsidR="002C0E35">
              <w:t xml:space="preserve"> </w:t>
            </w:r>
            <w:r w:rsidR="002C0E35" w:rsidRPr="002C0E35">
              <w:rPr>
                <w:rFonts w:ascii="Times New Roman" w:hAnsi="Times New Roman" w:cs="Times New Roman"/>
                <w:sz w:val="20"/>
                <w:szCs w:val="20"/>
              </w:rPr>
              <w:t>za pomocą badania PCR oraz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8E47A92" w14:textId="26CF6732" w:rsidR="00847210" w:rsidRPr="00EC128F" w:rsidRDefault="00847210" w:rsidP="004D583A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mikroskopia konfokalna in vivo</w:t>
            </w:r>
          </w:p>
          <w:p w14:paraId="70C04DE3" w14:textId="77777777" w:rsidR="00847210" w:rsidRPr="004D583A" w:rsidRDefault="00847210" w:rsidP="004D583A">
            <w:pPr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1EA3E022" w14:textId="7D3A8365" w:rsidR="00847210" w:rsidRPr="00EC128F" w:rsidRDefault="007A2EBD" w:rsidP="004D583A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847210" w:rsidRPr="00EC128F">
              <w:rPr>
                <w:rFonts w:ascii="Times New Roman" w:hAnsi="Times New Roman" w:cs="Times New Roman"/>
                <w:sz w:val="20"/>
                <w:szCs w:val="20"/>
              </w:rPr>
              <w:t>preparat</w:t>
            </w:r>
            <w:r w:rsidR="00FD731E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47210"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bezpośredni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  <w:r w:rsidR="00847210"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lub posiew</w:t>
            </w:r>
            <w:r w:rsidR="00FD731E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47210" w:rsidRPr="00EC12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FDA478E" w14:textId="4DF46AB4" w:rsidR="00847210" w:rsidRPr="00EC128F" w:rsidRDefault="00847210" w:rsidP="004D583A">
            <w:pPr>
              <w:pStyle w:val="Akapitzlist"/>
              <w:numPr>
                <w:ilvl w:val="2"/>
                <w:numId w:val="6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test ciążowy u kobiet w wieku rozrodczym</w:t>
            </w:r>
            <w:r w:rsidR="00DB553F" w:rsidRPr="00EC12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1BE3785" w14:textId="77777777" w:rsidR="00DB68E7" w:rsidRPr="00EC128F" w:rsidRDefault="00DB68E7" w:rsidP="004D583A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B5A1C3" w14:textId="0C9C1FE9" w:rsidR="00847210" w:rsidRDefault="00847210" w:rsidP="004D583A">
            <w:pPr>
              <w:pStyle w:val="Akapitzlist"/>
              <w:numPr>
                <w:ilvl w:val="0"/>
                <w:numId w:val="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Monitorowanie leczenia </w:t>
            </w:r>
          </w:p>
          <w:p w14:paraId="046FDF10" w14:textId="1DC0139A" w:rsidR="00FD731E" w:rsidRPr="004D583A" w:rsidRDefault="004D583A" w:rsidP="004D583A">
            <w:pPr>
              <w:pStyle w:val="Akapitzlist"/>
              <w:numPr>
                <w:ilvl w:val="1"/>
                <w:numId w:val="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Badania przeprowadza się w 6, 13, 20 i 30 dniu terapii, a następnie co 30 dni, aż do zakończenia leczenia w programie, z dopuszczalnym odchyleniem +/- 5 dni roboczych od wskazanych terminów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20BA94E" w14:textId="12DFEC93" w:rsidR="00847210" w:rsidRDefault="00847210" w:rsidP="004D583A">
            <w:pPr>
              <w:pStyle w:val="Akapitzlist"/>
              <w:numPr>
                <w:ilvl w:val="2"/>
                <w:numId w:val="7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badanie okulistyczne z oceną ostrości wzroku na tablicach </w:t>
            </w:r>
            <w:proofErr w:type="spellStart"/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Snellena</w:t>
            </w:r>
            <w:proofErr w:type="spellEnd"/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lub ETDRS;</w:t>
            </w:r>
          </w:p>
          <w:p w14:paraId="57F9E5CB" w14:textId="72836AFD" w:rsidR="00DE7D2A" w:rsidRPr="00EC128F" w:rsidRDefault="00DE7D2A" w:rsidP="004D583A">
            <w:pPr>
              <w:pStyle w:val="Akapitzlist"/>
              <w:numPr>
                <w:ilvl w:val="2"/>
                <w:numId w:val="7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D2A">
              <w:rPr>
                <w:rFonts w:ascii="Times New Roman" w:hAnsi="Times New Roman" w:cs="Times New Roman"/>
                <w:sz w:val="20"/>
                <w:szCs w:val="20"/>
              </w:rPr>
              <w:t>badanie OCT przedniego odcinka oka</w:t>
            </w:r>
            <w:r w:rsidR="004D583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46AEBBB" w14:textId="757C0C33" w:rsidR="00847210" w:rsidRPr="00EC128F" w:rsidRDefault="00847210" w:rsidP="004D583A">
            <w:pPr>
              <w:pStyle w:val="Akapitzlist"/>
              <w:numPr>
                <w:ilvl w:val="2"/>
                <w:numId w:val="7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ocena nasilenia objawów chorobowych na podstawie badania w lampie szczelinowej i skali z </w:t>
            </w:r>
            <w:proofErr w:type="spellStart"/>
            <w:r w:rsidR="00DB68E7" w:rsidRPr="00EC128F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pkt</w:t>
            </w:r>
            <w:proofErr w:type="spellEnd"/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B68E7" w:rsidRPr="00EC128F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68E7" w:rsidRPr="00EC128F">
              <w:rPr>
                <w:rFonts w:ascii="Times New Roman" w:hAnsi="Times New Roman" w:cs="Times New Roman"/>
                <w:sz w:val="20"/>
                <w:szCs w:val="20"/>
              </w:rPr>
              <w:t>w Badaniach przy kwalifikacji;</w:t>
            </w:r>
          </w:p>
          <w:p w14:paraId="14E228F9" w14:textId="284CB212" w:rsidR="00847210" w:rsidRDefault="00847210" w:rsidP="004D583A">
            <w:pPr>
              <w:pStyle w:val="Akapitzlist"/>
              <w:numPr>
                <w:ilvl w:val="2"/>
                <w:numId w:val="7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ocen</w:t>
            </w:r>
            <w:r w:rsidR="00DB68E7" w:rsidRPr="00EC128F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stopnia nasilenia bólu w skali VAS (Visual Analog </w:t>
            </w:r>
            <w:proofErr w:type="spellStart"/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Scale</w:t>
            </w:r>
            <w:proofErr w:type="spellEnd"/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="00DB68E7" w:rsidRPr="00EC128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10 pkt)</w:t>
            </w:r>
            <w:r w:rsidR="00DB68E7" w:rsidRPr="00EC12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34A893C" w14:textId="0C1BEFFC" w:rsidR="00847210" w:rsidRDefault="00847210" w:rsidP="004D583A">
            <w:pPr>
              <w:pStyle w:val="Akapitzlist"/>
              <w:numPr>
                <w:ilvl w:val="2"/>
                <w:numId w:val="7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wykonani</w:t>
            </w:r>
            <w:r w:rsidR="00DB68E7" w:rsidRPr="00EC128F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zdjęcia przedniego odcinka oka w lampie szczelinowej</w:t>
            </w:r>
            <w:r w:rsidR="004D583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0E05029" w14:textId="490AF661" w:rsidR="00FD731E" w:rsidRPr="00143667" w:rsidRDefault="00FD731E" w:rsidP="004D583A">
            <w:pPr>
              <w:pStyle w:val="Akapitzlist"/>
              <w:numPr>
                <w:ilvl w:val="1"/>
                <w:numId w:val="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3667">
              <w:rPr>
                <w:rFonts w:ascii="Times New Roman" w:hAnsi="Times New Roman" w:cs="Times New Roman"/>
                <w:sz w:val="20"/>
                <w:szCs w:val="20"/>
              </w:rPr>
              <w:t xml:space="preserve">Badania przeprowadzane po 6 miesiącach od rozpoczęcia leczenia oraz po 30 dniach od zakończenia leczenia na obecność </w:t>
            </w:r>
            <w:proofErr w:type="spellStart"/>
            <w:r w:rsidRPr="00143667">
              <w:rPr>
                <w:rFonts w:ascii="Times New Roman" w:hAnsi="Times New Roman" w:cs="Times New Roman"/>
                <w:sz w:val="20"/>
                <w:szCs w:val="20"/>
              </w:rPr>
              <w:t>Acanthamoeba</w:t>
            </w:r>
            <w:proofErr w:type="spellEnd"/>
            <w:r w:rsidRPr="00143667">
              <w:rPr>
                <w:rFonts w:ascii="Times New Roman" w:hAnsi="Times New Roman" w:cs="Times New Roman"/>
                <w:sz w:val="20"/>
                <w:szCs w:val="20"/>
              </w:rPr>
              <w:t xml:space="preserve"> w rogówce, tj. badanie PCR oraz:</w:t>
            </w:r>
          </w:p>
          <w:p w14:paraId="4515FA76" w14:textId="5D296B67" w:rsidR="00847210" w:rsidRPr="00EC128F" w:rsidRDefault="00847210" w:rsidP="004D583A">
            <w:pPr>
              <w:pStyle w:val="Akapitzlist"/>
              <w:numPr>
                <w:ilvl w:val="3"/>
                <w:numId w:val="7"/>
              </w:numPr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mikroskopi</w:t>
            </w:r>
            <w:r w:rsidR="00DB68E7" w:rsidRPr="00EC128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konfokaln</w:t>
            </w:r>
            <w:r w:rsidR="00DB68E7" w:rsidRPr="00EC128F">
              <w:rPr>
                <w:rFonts w:ascii="Times New Roman" w:hAnsi="Times New Roman" w:cs="Times New Roman"/>
                <w:sz w:val="20"/>
                <w:szCs w:val="20"/>
              </w:rPr>
              <w:t>ej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in vivo</w:t>
            </w:r>
          </w:p>
          <w:p w14:paraId="773667F7" w14:textId="77777777" w:rsidR="00847210" w:rsidRPr="00EC128F" w:rsidRDefault="00847210" w:rsidP="004D583A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7923F6E7" w14:textId="0EA39647" w:rsidR="00847210" w:rsidRDefault="00FD731E" w:rsidP="004D583A">
            <w:pPr>
              <w:pStyle w:val="Akapitzlist"/>
              <w:numPr>
                <w:ilvl w:val="3"/>
                <w:numId w:val="7"/>
              </w:numPr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7210" w:rsidRPr="00EC128F">
              <w:rPr>
                <w:rFonts w:ascii="Times New Roman" w:hAnsi="Times New Roman" w:cs="Times New Roman"/>
                <w:sz w:val="20"/>
                <w:szCs w:val="20"/>
              </w:rPr>
              <w:t>preparat</w:t>
            </w:r>
            <w:r w:rsidR="00DB68E7" w:rsidRPr="00EC128F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47210"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bezpośredni</w:t>
            </w:r>
            <w:r w:rsidR="00DB68E7" w:rsidRPr="00EC128F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  <w:r w:rsidR="00847210"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lub posiew</w:t>
            </w:r>
            <w:r w:rsidR="00DB68E7" w:rsidRPr="00EC128F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7C21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74C257C" w14:textId="3FD77628" w:rsidR="00FD731E" w:rsidRPr="00143667" w:rsidRDefault="00FD731E" w:rsidP="004D583A">
            <w:pPr>
              <w:pStyle w:val="Akapitzlist"/>
              <w:numPr>
                <w:ilvl w:val="1"/>
                <w:numId w:val="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3667">
              <w:rPr>
                <w:rFonts w:ascii="Times New Roman" w:hAnsi="Times New Roman" w:cs="Times New Roman"/>
                <w:sz w:val="20"/>
                <w:szCs w:val="20"/>
              </w:rPr>
              <w:t>Dodatkowa kontrolna wizyta okulistyczna po nie mniej niż 30 dniach od zakończenia leczenia</w:t>
            </w:r>
            <w:r w:rsidR="004D58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EFFC3FA" w14:textId="77777777" w:rsidR="00B161BF" w:rsidRPr="00D975BC" w:rsidRDefault="00B161BF" w:rsidP="004D583A">
            <w:pPr>
              <w:spacing w:after="60" w:line="276" w:lineRule="auto"/>
            </w:pPr>
          </w:p>
          <w:p w14:paraId="276E0F3E" w14:textId="4E9713A5" w:rsidR="00B161BF" w:rsidRPr="00C6332A" w:rsidRDefault="00B161BF" w:rsidP="004D583A">
            <w:pPr>
              <w:pStyle w:val="Akapitzlist"/>
              <w:numPr>
                <w:ilvl w:val="0"/>
                <w:numId w:val="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33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Ocena odpowiedzi na leczenie</w:t>
            </w:r>
          </w:p>
          <w:p w14:paraId="217A7A21" w14:textId="74F3019A" w:rsidR="00B161BF" w:rsidRDefault="00847210" w:rsidP="004D583A">
            <w:pPr>
              <w:pStyle w:val="Akapitzlist"/>
              <w:numPr>
                <w:ilvl w:val="1"/>
                <w:numId w:val="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Ocena odpowiedzi na leczenie </w:t>
            </w:r>
            <w:r w:rsidR="00DB68E7" w:rsidRPr="00EC128F">
              <w:rPr>
                <w:rFonts w:ascii="Times New Roman" w:hAnsi="Times New Roman" w:cs="Times New Roman"/>
                <w:sz w:val="20"/>
                <w:szCs w:val="20"/>
              </w:rPr>
              <w:t>przeprowadzana jest przez Zespół Koordynacyjny po zgłoszeniu pacjenta przez lekarza prowadzącego w elektronicznym systemie monitorowania programów lekowych. Brak zgłoszenia równoznaczny jest z wyłączeniem pacjenta z programu.</w:t>
            </w:r>
          </w:p>
          <w:p w14:paraId="3556E6E3" w14:textId="56A8AE2C" w:rsidR="00847210" w:rsidRPr="00EC128F" w:rsidRDefault="00847210" w:rsidP="004D583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E47452" w14:textId="19EF6C5E" w:rsidR="00847210" w:rsidRPr="00EC128F" w:rsidRDefault="00847210" w:rsidP="004D583A">
            <w:pPr>
              <w:pStyle w:val="Akapitzlist"/>
              <w:numPr>
                <w:ilvl w:val="1"/>
                <w:numId w:val="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Kryteria oceny odpowiedzi na terapię obejmują:</w:t>
            </w:r>
          </w:p>
          <w:p w14:paraId="41C36E6B" w14:textId="4637FD69" w:rsidR="00847210" w:rsidRPr="004D583A" w:rsidRDefault="00CB103F" w:rsidP="004D583A">
            <w:pPr>
              <w:pStyle w:val="Akapitzlist"/>
              <w:numPr>
                <w:ilvl w:val="2"/>
                <w:numId w:val="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847210" w:rsidRPr="004D583A">
              <w:rPr>
                <w:rFonts w:ascii="Times New Roman" w:hAnsi="Times New Roman" w:cs="Times New Roman"/>
                <w:sz w:val="20"/>
                <w:szCs w:val="20"/>
              </w:rPr>
              <w:t>opraw</w:t>
            </w: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="00847210"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 bądź stabilizacj</w:t>
            </w: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="00847210"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 najlepszej skorygowanej ostrości wzroku do dali BCVA w stosunku do wartości wyjściowych</w:t>
            </w: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16FCED3" w14:textId="6F5FC4F9" w:rsidR="00847210" w:rsidRPr="004D583A" w:rsidRDefault="00CB103F" w:rsidP="004D583A">
            <w:pPr>
              <w:pStyle w:val="Akapitzlist"/>
              <w:numPr>
                <w:ilvl w:val="2"/>
                <w:numId w:val="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847210" w:rsidRPr="004D583A">
              <w:rPr>
                <w:rFonts w:ascii="Times New Roman" w:hAnsi="Times New Roman" w:cs="Times New Roman"/>
                <w:sz w:val="20"/>
                <w:szCs w:val="20"/>
              </w:rPr>
              <w:t>opraw</w:t>
            </w: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="00847210"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 lub brak stanu zapalnego w przednim odcinku oka na podstawie badania w lampie szczelinowej</w:t>
            </w: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47210"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 udokumentowan</w:t>
            </w: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="00847210"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 fotograficznie w stosunku do wartości wyjściowych</w:t>
            </w: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95E20DC" w14:textId="58EE512A" w:rsidR="00847210" w:rsidRPr="004D583A" w:rsidRDefault="00CB103F" w:rsidP="004D583A">
            <w:pPr>
              <w:pStyle w:val="Akapitzlist"/>
              <w:numPr>
                <w:ilvl w:val="2"/>
                <w:numId w:val="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zmniejszenie</w:t>
            </w:r>
            <w:r w:rsidR="00847210"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 nasilenia bólu w skali VAS o </w:t>
            </w: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co najmniej </w:t>
            </w:r>
            <w:r w:rsidR="00847210"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1,7 </w:t>
            </w: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pkt </w:t>
            </w:r>
            <w:r w:rsidR="00847210"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(Visual Analog </w:t>
            </w:r>
            <w:proofErr w:type="spellStart"/>
            <w:r w:rsidR="00847210" w:rsidRPr="004D583A">
              <w:rPr>
                <w:rFonts w:ascii="Times New Roman" w:hAnsi="Times New Roman" w:cs="Times New Roman"/>
                <w:sz w:val="20"/>
                <w:szCs w:val="20"/>
              </w:rPr>
              <w:t>Scale</w:t>
            </w:r>
            <w:proofErr w:type="spellEnd"/>
            <w:r w:rsidR="00847210"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="00DB68E7" w:rsidRPr="004D583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47210" w:rsidRPr="004D583A">
              <w:rPr>
                <w:rFonts w:ascii="Times New Roman" w:hAnsi="Times New Roman" w:cs="Times New Roman"/>
                <w:sz w:val="20"/>
                <w:szCs w:val="20"/>
              </w:rPr>
              <w:t>10 pkt) w stosunku do wartości wyjściowych</w:t>
            </w: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B1F7834" w14:textId="66A323E7" w:rsidR="00847210" w:rsidRPr="004D583A" w:rsidRDefault="005B2697" w:rsidP="004D583A">
            <w:pPr>
              <w:pStyle w:val="Akapitzlist"/>
              <w:numPr>
                <w:ilvl w:val="2"/>
                <w:numId w:val="8"/>
              </w:numPr>
              <w:spacing w:after="60" w:line="276" w:lineRule="auto"/>
              <w:contextualSpacing w:val="0"/>
              <w:rPr>
                <w:rFonts w:ascii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ujemny wynik badania obecności </w:t>
            </w:r>
            <w:proofErr w:type="spellStart"/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Acanthamoeba</w:t>
            </w:r>
            <w:proofErr w:type="spellEnd"/>
            <w:r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 w rogówce</w:t>
            </w:r>
            <w:r w:rsidR="00191F3C" w:rsidRPr="004D583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, zweryfikowany po</w:t>
            </w:r>
            <w:r w:rsidR="0080289A" w:rsidRPr="004D583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nie</w:t>
            </w:r>
            <w:r w:rsidR="00191F3C" w:rsidRPr="004D583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mniej niż 30 </w:t>
            </w:r>
            <w:r w:rsidR="005737F3" w:rsidRPr="004D583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dni od </w:t>
            </w:r>
            <w:r w:rsidR="00191F3C" w:rsidRPr="004D583A">
              <w:rPr>
                <w:rFonts w:ascii="Times New Roman" w:hAnsi="Times New Roman" w:cs="Times New Roman"/>
                <w:kern w:val="0"/>
                <w:sz w:val="20"/>
                <w:szCs w:val="20"/>
                <w14:ligatures w14:val="none"/>
              </w:rPr>
              <w:t>zakończenia stosowania farmakoterapii,</w:t>
            </w:r>
            <w:r w:rsidR="00C76796" w:rsidRPr="004D583A">
              <w:rPr>
                <w:sz w:val="20"/>
                <w:szCs w:val="20"/>
              </w:rPr>
              <w:t xml:space="preserve"> </w:t>
            </w:r>
            <w:r w:rsidR="00C76796" w:rsidRPr="004D583A">
              <w:rPr>
                <w:rFonts w:ascii="Times New Roman" w:hAnsi="Times New Roman" w:cs="Times New Roman"/>
                <w:sz w:val="20"/>
                <w:szCs w:val="20"/>
              </w:rPr>
              <w:t>potwierdzone w badaniu PCR</w:t>
            </w:r>
            <w:r w:rsidR="00380B10"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 oraz</w:t>
            </w:r>
            <w:r w:rsidR="005736E6" w:rsidRPr="004D583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15357DB" w14:textId="1A351243" w:rsidR="00847210" w:rsidRPr="004D583A" w:rsidRDefault="00847210" w:rsidP="004D583A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mikroskopi</w:t>
            </w:r>
            <w:r w:rsidR="00380B10" w:rsidRPr="004D583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 konfokaln</w:t>
            </w:r>
            <w:r w:rsidR="00380B10" w:rsidRPr="004D583A">
              <w:rPr>
                <w:rFonts w:ascii="Times New Roman" w:hAnsi="Times New Roman" w:cs="Times New Roman"/>
                <w:sz w:val="20"/>
                <w:szCs w:val="20"/>
              </w:rPr>
              <w:t>ej</w:t>
            </w: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 in vivo</w:t>
            </w:r>
          </w:p>
          <w:p w14:paraId="3E90568C" w14:textId="0F5E59E5" w:rsidR="00847210" w:rsidRPr="004D583A" w:rsidRDefault="00847210" w:rsidP="004D583A">
            <w:pPr>
              <w:spacing w:after="60" w:line="276" w:lineRule="auto"/>
              <w:ind w:left="454"/>
              <w:jc w:val="both"/>
              <w:rPr>
                <w:sz w:val="20"/>
                <w:szCs w:val="20"/>
              </w:rPr>
            </w:pP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4254FC25" w14:textId="010A52C2" w:rsidR="00847210" w:rsidRPr="004D583A" w:rsidRDefault="00045B11" w:rsidP="004D583A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badani</w:t>
            </w:r>
            <w:r w:rsidR="00380B10" w:rsidRPr="004D583A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7210" w:rsidRPr="004D583A">
              <w:rPr>
                <w:rFonts w:ascii="Times New Roman" w:hAnsi="Times New Roman" w:cs="Times New Roman"/>
                <w:sz w:val="20"/>
                <w:szCs w:val="20"/>
              </w:rPr>
              <w:t>preparat</w:t>
            </w: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47210"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 bezpośredni</w:t>
            </w: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  <w:r w:rsidR="00847210" w:rsidRPr="004D583A">
              <w:rPr>
                <w:rFonts w:ascii="Times New Roman" w:hAnsi="Times New Roman" w:cs="Times New Roman"/>
                <w:sz w:val="20"/>
                <w:szCs w:val="20"/>
              </w:rPr>
              <w:t xml:space="preserve"> lub posiew</w:t>
            </w: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847210" w:rsidRPr="004D583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159F5A0" w14:textId="5E4BBA21" w:rsidR="00847210" w:rsidRPr="004D583A" w:rsidRDefault="00003360" w:rsidP="004D583A">
            <w:pPr>
              <w:pStyle w:val="Akapitzlist"/>
              <w:numPr>
                <w:ilvl w:val="2"/>
                <w:numId w:val="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3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351B29" w:rsidRPr="004D583A">
              <w:rPr>
                <w:rFonts w:ascii="Times New Roman" w:hAnsi="Times New Roman" w:cs="Times New Roman"/>
                <w:sz w:val="20"/>
                <w:szCs w:val="20"/>
              </w:rPr>
              <w:t>rak nawrotu stanu zapalnego po nie mniej niż 30 dniach od zakończenia stosowania farmakoterapii</w:t>
            </w:r>
          </w:p>
          <w:p w14:paraId="68DD871D" w14:textId="5650DE8D" w:rsidR="00B82AE8" w:rsidRPr="00F47914" w:rsidRDefault="00B82AE8" w:rsidP="00F47914">
            <w:pPr>
              <w:pStyle w:val="Akapitzlist"/>
              <w:numPr>
                <w:ilvl w:val="1"/>
                <w:numId w:val="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914">
              <w:rPr>
                <w:rFonts w:ascii="Times New Roman" w:hAnsi="Times New Roman" w:cs="Times New Roman"/>
                <w:sz w:val="20"/>
                <w:szCs w:val="20"/>
              </w:rPr>
              <w:t>Ocena odpowiedzi na leczenie na podstawie wszystkich kryteriów oceny wskazanych w pkt 3.2. wyżej odbywa się w okresie do 21 dni roboczych po 6 miesiącach od rozpoczęcia leczenia.</w:t>
            </w:r>
          </w:p>
          <w:p w14:paraId="30B3386C" w14:textId="4BCDF745" w:rsidR="00B82AE8" w:rsidRPr="004D583A" w:rsidRDefault="00B82AE8" w:rsidP="00F47914">
            <w:pPr>
              <w:pStyle w:val="Akapitzlist"/>
              <w:numPr>
                <w:ilvl w:val="1"/>
                <w:numId w:val="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Ocena odpowiedzi na leczenie na podstawie kryteriów oceny wskazanych w pkt 3.2.4) i 3.2.5) wyżej odbywa się po nie mniej niż 30 dniach od odstawienia leczenia.</w:t>
            </w:r>
          </w:p>
          <w:p w14:paraId="0330E155" w14:textId="31AB6356" w:rsidR="00847210" w:rsidRPr="00EC128F" w:rsidRDefault="00847210" w:rsidP="004D583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Na podstawie oceny </w:t>
            </w:r>
            <w:r w:rsidR="00CB103F"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odpowiedzi na leczenie 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po 6 miesiącach leczenia Zespół </w:t>
            </w:r>
            <w:r w:rsidR="007A2EBD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oordynacyjny może</w:t>
            </w:r>
            <w:r w:rsidR="00CB103F" w:rsidRPr="00EC128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437CDA3" w14:textId="020C3469" w:rsidR="00F47914" w:rsidRDefault="00847210" w:rsidP="004D583A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uznać leczenie za skuteczne i wyłączyć chorego z programu</w:t>
            </w:r>
          </w:p>
          <w:p w14:paraId="05412411" w14:textId="379402AF" w:rsidR="00847210" w:rsidRPr="00F47914" w:rsidRDefault="00CB103F" w:rsidP="00F47914">
            <w:pPr>
              <w:spacing w:after="60" w:line="276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914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33EF05FC" w14:textId="77777777" w:rsidR="00F47914" w:rsidRDefault="00847210" w:rsidP="004D583A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uznać leczenie za </w:t>
            </w:r>
            <w:r w:rsidR="000D69D3" w:rsidRPr="00EC128F">
              <w:rPr>
                <w:rFonts w:ascii="Times New Roman" w:hAnsi="Times New Roman" w:cs="Times New Roman"/>
                <w:sz w:val="20"/>
                <w:szCs w:val="20"/>
              </w:rPr>
              <w:t>skuteczne,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 xml:space="preserve"> lecz wymagające dalszego leczenia w programie</w:t>
            </w:r>
          </w:p>
          <w:p w14:paraId="2F115DC5" w14:textId="1733A935" w:rsidR="00847210" w:rsidRPr="00F47914" w:rsidRDefault="00CB103F" w:rsidP="00F47914">
            <w:pPr>
              <w:spacing w:after="60" w:line="276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914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7F6A2C60" w14:textId="56D7B2CC" w:rsidR="00847210" w:rsidRPr="00EC128F" w:rsidRDefault="00847210" w:rsidP="004D583A">
            <w:pPr>
              <w:pStyle w:val="Akapitzlist"/>
              <w:numPr>
                <w:ilvl w:val="2"/>
                <w:numId w:val="9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uznać leczenie za nieskuteczne i wyłączyć pacjenta z programu.</w:t>
            </w:r>
          </w:p>
          <w:p w14:paraId="28F3ED90" w14:textId="77777777" w:rsidR="00DB68E7" w:rsidRPr="00F47914" w:rsidRDefault="00DB68E7" w:rsidP="00F47914">
            <w:pPr>
              <w:spacing w:after="60" w:line="276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355F61" w14:textId="11F2ECDD" w:rsidR="00847210" w:rsidRPr="00C6332A" w:rsidRDefault="00847210" w:rsidP="00F47914">
            <w:pPr>
              <w:pStyle w:val="Akapitzlist"/>
              <w:numPr>
                <w:ilvl w:val="0"/>
                <w:numId w:val="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33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 programu</w:t>
            </w:r>
          </w:p>
          <w:p w14:paraId="4598D37F" w14:textId="2207B0A0" w:rsidR="00847210" w:rsidRPr="00EC128F" w:rsidRDefault="00C3626D" w:rsidP="004D583A">
            <w:pPr>
              <w:pStyle w:val="Akapitzlist"/>
              <w:numPr>
                <w:ilvl w:val="2"/>
                <w:numId w:val="1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CB103F" w:rsidRPr="00EC128F">
              <w:rPr>
                <w:rFonts w:ascii="Times New Roman" w:hAnsi="Times New Roman" w:cs="Times New Roman"/>
                <w:sz w:val="20"/>
                <w:szCs w:val="20"/>
              </w:rPr>
              <w:t>rzekazywanie do NFZ zakresu informacji sprawozdawczo-rozliczeniowych w formie elektronicznej</w:t>
            </w: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, zgodnie z wymaganiami opublikowanymi przez Narodowy Fundusz Zdrowia;</w:t>
            </w:r>
          </w:p>
          <w:p w14:paraId="12F67F03" w14:textId="1F258983" w:rsidR="00847210" w:rsidRPr="00F47914" w:rsidRDefault="00847210" w:rsidP="004D583A">
            <w:pPr>
              <w:pStyle w:val="Akapitzlist"/>
              <w:numPr>
                <w:ilvl w:val="2"/>
                <w:numId w:val="1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914">
              <w:rPr>
                <w:rFonts w:ascii="Times New Roman" w:hAnsi="Times New Roman" w:cs="Times New Roman"/>
                <w:sz w:val="20"/>
                <w:szCs w:val="20"/>
              </w:rPr>
              <w:t>uzupełni</w:t>
            </w:r>
            <w:r w:rsidR="00C3626D" w:rsidRPr="00F47914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F47914">
              <w:rPr>
                <w:rFonts w:ascii="Times New Roman" w:hAnsi="Times New Roman" w:cs="Times New Roman"/>
                <w:sz w:val="20"/>
                <w:szCs w:val="20"/>
              </w:rPr>
              <w:t xml:space="preserve">nie danych zawartych w </w:t>
            </w:r>
            <w:r w:rsidR="00C3626D" w:rsidRPr="00F47914">
              <w:rPr>
                <w:rFonts w:ascii="Times New Roman" w:hAnsi="Times New Roman" w:cs="Times New Roman"/>
                <w:sz w:val="20"/>
                <w:szCs w:val="20"/>
              </w:rPr>
              <w:t xml:space="preserve">elektronicznym systemie monitorowania programów lekowych, w tym przekazywanie danych dotyczących wskaźników odpowiedzi na leczenie zawartych w pkt. </w:t>
            </w:r>
            <w:r w:rsidR="00B82AE8" w:rsidRPr="00F479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3626D" w:rsidRPr="00F4791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B82AE8" w:rsidRPr="00F47914">
              <w:rPr>
                <w:rFonts w:ascii="Times New Roman" w:hAnsi="Times New Roman" w:cs="Times New Roman"/>
                <w:sz w:val="20"/>
                <w:szCs w:val="20"/>
              </w:rPr>
              <w:t>wyżej Ocena odpowiedzi na leczenie</w:t>
            </w:r>
            <w:r w:rsidR="00C3626D" w:rsidRPr="00F4791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47914">
              <w:rPr>
                <w:rFonts w:ascii="Times New Roman" w:hAnsi="Times New Roman" w:cs="Times New Roman"/>
                <w:sz w:val="20"/>
                <w:szCs w:val="20"/>
              </w:rPr>
              <w:t>dostępnym za pomocą aplikacji internetowej udostępnionej przez OW NFZ, z częstotliwością zgodną z opisem programu oraz na zakończenie leczenia;</w:t>
            </w:r>
          </w:p>
          <w:p w14:paraId="6BF9DA21" w14:textId="77777777" w:rsidR="00544A7D" w:rsidRDefault="00C3626D" w:rsidP="004D583A">
            <w:pPr>
              <w:pStyle w:val="Akapitzlist"/>
              <w:numPr>
                <w:ilvl w:val="2"/>
                <w:numId w:val="1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28F">
              <w:rPr>
                <w:rFonts w:ascii="Times New Roman" w:hAnsi="Times New Roman" w:cs="Times New Roman"/>
                <w:sz w:val="20"/>
                <w:szCs w:val="20"/>
              </w:rPr>
              <w:t>dane dotyczące monitorowania leczenia, należy gromadzić w dokumentacji pacjenta i każdorazowo przedstawiać na żądanie kontrolerom NFZ.</w:t>
            </w:r>
          </w:p>
          <w:p w14:paraId="2478EE90" w14:textId="6CBBBB71" w:rsidR="00F47914" w:rsidRPr="00F47914" w:rsidRDefault="00F47914" w:rsidP="00F47914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37D630" w14:textId="725948B0" w:rsidR="00A451F4" w:rsidRDefault="00A451F4"/>
    <w:sectPr w:rsidR="00A451F4" w:rsidSect="006A6913"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D50EC"/>
    <w:multiLevelType w:val="multilevel"/>
    <w:tmpl w:val="0978884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" w15:restartNumberingAfterBreak="0">
    <w:nsid w:val="047F3CEB"/>
    <w:multiLevelType w:val="multilevel"/>
    <w:tmpl w:val="25D22FC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184837C7"/>
    <w:multiLevelType w:val="multilevel"/>
    <w:tmpl w:val="25D22FC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" w15:restartNumberingAfterBreak="0">
    <w:nsid w:val="18E9590C"/>
    <w:multiLevelType w:val="multilevel"/>
    <w:tmpl w:val="25D22FC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" w15:restartNumberingAfterBreak="0">
    <w:nsid w:val="2D7F2880"/>
    <w:multiLevelType w:val="multilevel"/>
    <w:tmpl w:val="25D22FC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52E553D0"/>
    <w:multiLevelType w:val="multilevel"/>
    <w:tmpl w:val="25D22FC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5B8E1539"/>
    <w:multiLevelType w:val="multilevel"/>
    <w:tmpl w:val="25D22FC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61AB1C00"/>
    <w:multiLevelType w:val="hybridMultilevel"/>
    <w:tmpl w:val="B378810C"/>
    <w:lvl w:ilvl="0" w:tplc="399210A8">
      <w:start w:val="1"/>
      <w:numFmt w:val="decimal"/>
      <w:lvlText w:val="%1."/>
      <w:lvlJc w:val="left"/>
      <w:pPr>
        <w:ind w:left="1020" w:hanging="360"/>
      </w:pPr>
    </w:lvl>
    <w:lvl w:ilvl="1" w:tplc="71C626A2">
      <w:start w:val="1"/>
      <w:numFmt w:val="decimal"/>
      <w:lvlText w:val="%2."/>
      <w:lvlJc w:val="left"/>
      <w:pPr>
        <w:ind w:left="1020" w:hanging="360"/>
      </w:pPr>
    </w:lvl>
    <w:lvl w:ilvl="2" w:tplc="6DFA9F64">
      <w:start w:val="1"/>
      <w:numFmt w:val="decimal"/>
      <w:lvlText w:val="%3."/>
      <w:lvlJc w:val="left"/>
      <w:pPr>
        <w:ind w:left="1020" w:hanging="360"/>
      </w:pPr>
    </w:lvl>
    <w:lvl w:ilvl="3" w:tplc="35BAA89A">
      <w:start w:val="1"/>
      <w:numFmt w:val="decimal"/>
      <w:lvlText w:val="%4."/>
      <w:lvlJc w:val="left"/>
      <w:pPr>
        <w:ind w:left="1020" w:hanging="360"/>
      </w:pPr>
    </w:lvl>
    <w:lvl w:ilvl="4" w:tplc="C1881B76">
      <w:start w:val="1"/>
      <w:numFmt w:val="decimal"/>
      <w:lvlText w:val="%5."/>
      <w:lvlJc w:val="left"/>
      <w:pPr>
        <w:ind w:left="1020" w:hanging="360"/>
      </w:pPr>
    </w:lvl>
    <w:lvl w:ilvl="5" w:tplc="EB18B0BA">
      <w:start w:val="1"/>
      <w:numFmt w:val="decimal"/>
      <w:lvlText w:val="%6."/>
      <w:lvlJc w:val="left"/>
      <w:pPr>
        <w:ind w:left="1020" w:hanging="360"/>
      </w:pPr>
    </w:lvl>
    <w:lvl w:ilvl="6" w:tplc="5F6E86E0">
      <w:start w:val="1"/>
      <w:numFmt w:val="decimal"/>
      <w:lvlText w:val="%7."/>
      <w:lvlJc w:val="left"/>
      <w:pPr>
        <w:ind w:left="1020" w:hanging="360"/>
      </w:pPr>
    </w:lvl>
    <w:lvl w:ilvl="7" w:tplc="A09AD50A">
      <w:start w:val="1"/>
      <w:numFmt w:val="decimal"/>
      <w:lvlText w:val="%8."/>
      <w:lvlJc w:val="left"/>
      <w:pPr>
        <w:ind w:left="1020" w:hanging="360"/>
      </w:pPr>
    </w:lvl>
    <w:lvl w:ilvl="8" w:tplc="73B20148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624E15DD"/>
    <w:multiLevelType w:val="multilevel"/>
    <w:tmpl w:val="25D22FC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631F6C2B"/>
    <w:multiLevelType w:val="multilevel"/>
    <w:tmpl w:val="25D22FC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0" w15:restartNumberingAfterBreak="0">
    <w:nsid w:val="6D0B10AE"/>
    <w:multiLevelType w:val="multilevel"/>
    <w:tmpl w:val="25D22FC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710C329B"/>
    <w:multiLevelType w:val="multilevel"/>
    <w:tmpl w:val="25D22FC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2" w15:restartNumberingAfterBreak="0">
    <w:nsid w:val="776F2EBE"/>
    <w:multiLevelType w:val="multilevel"/>
    <w:tmpl w:val="25D22FC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num w:numId="1" w16cid:durableId="1450054750">
    <w:abstractNumId w:val="3"/>
  </w:num>
  <w:num w:numId="2" w16cid:durableId="1968583260">
    <w:abstractNumId w:val="4"/>
  </w:num>
  <w:num w:numId="3" w16cid:durableId="297609561">
    <w:abstractNumId w:val="1"/>
  </w:num>
  <w:num w:numId="4" w16cid:durableId="877740301">
    <w:abstractNumId w:val="6"/>
  </w:num>
  <w:num w:numId="5" w16cid:durableId="1021274806">
    <w:abstractNumId w:val="2"/>
  </w:num>
  <w:num w:numId="6" w16cid:durableId="547380169">
    <w:abstractNumId w:val="11"/>
  </w:num>
  <w:num w:numId="7" w16cid:durableId="1493371186">
    <w:abstractNumId w:val="10"/>
  </w:num>
  <w:num w:numId="8" w16cid:durableId="785269435">
    <w:abstractNumId w:val="5"/>
  </w:num>
  <w:num w:numId="9" w16cid:durableId="1170021833">
    <w:abstractNumId w:val="9"/>
  </w:num>
  <w:num w:numId="10" w16cid:durableId="104156404">
    <w:abstractNumId w:val="8"/>
  </w:num>
  <w:num w:numId="11" w16cid:durableId="1539001471">
    <w:abstractNumId w:val="12"/>
  </w:num>
  <w:num w:numId="12" w16cid:durableId="959805306">
    <w:abstractNumId w:val="7"/>
  </w:num>
  <w:num w:numId="13" w16cid:durableId="1929268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7D"/>
    <w:rsid w:val="00003360"/>
    <w:rsid w:val="000079A2"/>
    <w:rsid w:val="000313E6"/>
    <w:rsid w:val="00045B11"/>
    <w:rsid w:val="00093C08"/>
    <w:rsid w:val="00095E3C"/>
    <w:rsid w:val="000A3E85"/>
    <w:rsid w:val="000C5F5E"/>
    <w:rsid w:val="000D69D3"/>
    <w:rsid w:val="000F23EF"/>
    <w:rsid w:val="00121837"/>
    <w:rsid w:val="00143667"/>
    <w:rsid w:val="001736B0"/>
    <w:rsid w:val="00191F3C"/>
    <w:rsid w:val="001934BB"/>
    <w:rsid w:val="001B7788"/>
    <w:rsid w:val="001C7EAC"/>
    <w:rsid w:val="00213046"/>
    <w:rsid w:val="00222FB2"/>
    <w:rsid w:val="00224CCF"/>
    <w:rsid w:val="002415FF"/>
    <w:rsid w:val="00257D99"/>
    <w:rsid w:val="002C0E35"/>
    <w:rsid w:val="002E553F"/>
    <w:rsid w:val="0031145D"/>
    <w:rsid w:val="00351B29"/>
    <w:rsid w:val="00380B10"/>
    <w:rsid w:val="00383FFF"/>
    <w:rsid w:val="003A399F"/>
    <w:rsid w:val="003B2D92"/>
    <w:rsid w:val="003D42BB"/>
    <w:rsid w:val="004071F2"/>
    <w:rsid w:val="0042121B"/>
    <w:rsid w:val="00425660"/>
    <w:rsid w:val="00442533"/>
    <w:rsid w:val="004629A3"/>
    <w:rsid w:val="004B1A09"/>
    <w:rsid w:val="004C6A34"/>
    <w:rsid w:val="004D583A"/>
    <w:rsid w:val="004E6327"/>
    <w:rsid w:val="00500557"/>
    <w:rsid w:val="00516448"/>
    <w:rsid w:val="005319CE"/>
    <w:rsid w:val="00544A7D"/>
    <w:rsid w:val="00556BAA"/>
    <w:rsid w:val="005736E6"/>
    <w:rsid w:val="005737F3"/>
    <w:rsid w:val="00582833"/>
    <w:rsid w:val="005A0AB4"/>
    <w:rsid w:val="005B2697"/>
    <w:rsid w:val="005B3EAB"/>
    <w:rsid w:val="005E27E5"/>
    <w:rsid w:val="005E545A"/>
    <w:rsid w:val="005F6B37"/>
    <w:rsid w:val="006778EF"/>
    <w:rsid w:val="006A64D4"/>
    <w:rsid w:val="006C664E"/>
    <w:rsid w:val="00732A8E"/>
    <w:rsid w:val="007379F9"/>
    <w:rsid w:val="00757278"/>
    <w:rsid w:val="00794AAD"/>
    <w:rsid w:val="007A2EBD"/>
    <w:rsid w:val="007B0E54"/>
    <w:rsid w:val="007B2849"/>
    <w:rsid w:val="007B7238"/>
    <w:rsid w:val="007C21DB"/>
    <w:rsid w:val="007E1A7B"/>
    <w:rsid w:val="007E269F"/>
    <w:rsid w:val="0080289A"/>
    <w:rsid w:val="00803F77"/>
    <w:rsid w:val="00813F58"/>
    <w:rsid w:val="00825236"/>
    <w:rsid w:val="00841148"/>
    <w:rsid w:val="00847210"/>
    <w:rsid w:val="0086471F"/>
    <w:rsid w:val="008661E6"/>
    <w:rsid w:val="008734DC"/>
    <w:rsid w:val="00886FD2"/>
    <w:rsid w:val="008D14C7"/>
    <w:rsid w:val="008E0977"/>
    <w:rsid w:val="009210A3"/>
    <w:rsid w:val="009579B9"/>
    <w:rsid w:val="00966961"/>
    <w:rsid w:val="009B2F54"/>
    <w:rsid w:val="009D39B3"/>
    <w:rsid w:val="00A171CF"/>
    <w:rsid w:val="00A451F4"/>
    <w:rsid w:val="00A55385"/>
    <w:rsid w:val="00A80B56"/>
    <w:rsid w:val="00A857C7"/>
    <w:rsid w:val="00A977D1"/>
    <w:rsid w:val="00AD3AA4"/>
    <w:rsid w:val="00AD59AE"/>
    <w:rsid w:val="00AE4E2A"/>
    <w:rsid w:val="00B11992"/>
    <w:rsid w:val="00B12725"/>
    <w:rsid w:val="00B161BF"/>
    <w:rsid w:val="00B67CB7"/>
    <w:rsid w:val="00B82AE8"/>
    <w:rsid w:val="00B87D4E"/>
    <w:rsid w:val="00B9232D"/>
    <w:rsid w:val="00C02ABF"/>
    <w:rsid w:val="00C3626D"/>
    <w:rsid w:val="00C41C7B"/>
    <w:rsid w:val="00C519E0"/>
    <w:rsid w:val="00C6332A"/>
    <w:rsid w:val="00C76796"/>
    <w:rsid w:val="00C827E7"/>
    <w:rsid w:val="00CA2551"/>
    <w:rsid w:val="00CA6B23"/>
    <w:rsid w:val="00CB103F"/>
    <w:rsid w:val="00CB6EAC"/>
    <w:rsid w:val="00D116DB"/>
    <w:rsid w:val="00D2232D"/>
    <w:rsid w:val="00D46400"/>
    <w:rsid w:val="00D52E1F"/>
    <w:rsid w:val="00D739EA"/>
    <w:rsid w:val="00D86D39"/>
    <w:rsid w:val="00D91FB2"/>
    <w:rsid w:val="00D975BC"/>
    <w:rsid w:val="00DB5071"/>
    <w:rsid w:val="00DB553F"/>
    <w:rsid w:val="00DB68E7"/>
    <w:rsid w:val="00DC2B7D"/>
    <w:rsid w:val="00DC580E"/>
    <w:rsid w:val="00DC742F"/>
    <w:rsid w:val="00DE7D2A"/>
    <w:rsid w:val="00E25937"/>
    <w:rsid w:val="00E4465A"/>
    <w:rsid w:val="00E64713"/>
    <w:rsid w:val="00E74132"/>
    <w:rsid w:val="00EC128F"/>
    <w:rsid w:val="00EC6D65"/>
    <w:rsid w:val="00EE0FA7"/>
    <w:rsid w:val="00F14968"/>
    <w:rsid w:val="00F47914"/>
    <w:rsid w:val="00F7311C"/>
    <w:rsid w:val="00F77493"/>
    <w:rsid w:val="00FC72AE"/>
    <w:rsid w:val="00FD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6C716"/>
  <w15:chartTrackingRefBased/>
  <w15:docId w15:val="{DC613F23-7E7A-49C2-882B-99AC55863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4A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44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4721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161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61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61B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61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61B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95E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6B8DA-7015-4651-A528-2FF8E281E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1361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Biernat Ewa</dc:creator>
  <cp:keywords/>
  <dc:description/>
  <cp:lastModifiedBy>Wilk Justyna</cp:lastModifiedBy>
  <cp:revision>3</cp:revision>
  <dcterms:created xsi:type="dcterms:W3CDTF">2026-04-28T12:03:00Z</dcterms:created>
  <dcterms:modified xsi:type="dcterms:W3CDTF">2026-04-28T12:27:00Z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